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0" w:rsidRPr="00A45B28" w:rsidRDefault="00E87050" w:rsidP="00E87050">
      <w:pPr>
        <w:tabs>
          <w:tab w:val="left" w:pos="8055"/>
        </w:tabs>
        <w:spacing w:after="0" w:line="276" w:lineRule="auto"/>
        <w:jc w:val="both"/>
        <w:rPr>
          <w:rFonts w:ascii="Kokila" w:hAnsi="Kokila" w:cs="Kokila"/>
          <w:b/>
          <w:bCs/>
          <w:sz w:val="32"/>
          <w:szCs w:val="32"/>
          <w:u w:val="single"/>
        </w:rPr>
      </w:pPr>
      <w:r w:rsidRPr="00301F99">
        <w:rPr>
          <w:rFonts w:ascii="Kokila" w:hAnsi="Kokila" w:cs="Kokila" w:hint="cs"/>
          <w:b/>
          <w:bCs/>
          <w:sz w:val="32"/>
          <w:szCs w:val="32"/>
          <w:u w:val="single"/>
          <w:cs/>
        </w:rPr>
        <w:t xml:space="preserve">निर्णयहरूः </w:t>
      </w:r>
      <w:r w:rsidRPr="00301F99">
        <w:rPr>
          <w:rFonts w:ascii="Kokila" w:hAnsi="Kokila" w:cs="Kokila" w:hint="cs"/>
          <w:b/>
          <w:bCs/>
          <w:sz w:val="32"/>
          <w:szCs w:val="32"/>
          <w:cs/>
        </w:rPr>
        <w:tab/>
      </w:r>
    </w:p>
    <w:p w:rsidR="00E87050"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hAnsi="Kokila" w:cs="Kokila" w:hint="cs"/>
          <w:sz w:val="32"/>
          <w:szCs w:val="32"/>
          <w:cs/>
        </w:rPr>
        <w:t>अपराधको सुचना एवं जाहेरी दर्ता गर्न कठिन भएको भन्ने जन गुनासो रहेको र उच्च अदालत जनकपुरमा जाहेरी दर्ता गर्न परमादेश जारी गरी पाउ भन्ने मुद्दाको संख्य तुलनात्मक रूपमा वढी देखिएकाले जाहेरी दर्ता सम्बन्धी कार्यलाइ अझ  सरल र सहज गराउने तर्फ पहल गर्ने ।</w:t>
      </w:r>
    </w:p>
    <w:p w:rsidR="00E87050" w:rsidRPr="00E74D31"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eastAsia="Times New Roman" w:hAnsi="Kokila" w:cs="Kokila" w:hint="cs"/>
          <w:sz w:val="32"/>
          <w:szCs w:val="32"/>
          <w:cs/>
          <w:lang w:val="en-US"/>
        </w:rPr>
        <w:t>मुलुकी फौजदारी कार्यविधि संहिता २०७४ को दफा ११ मा भ्रमपूर्ण, झुट्टा वा काल्पनिक सूचनालार्इ तामेलीमा राख्न सकिने कानूनी व्यावस्था रहेपनि सो कानूनी व्यावस्थालार्इ कम मात्र व्यावहारमा ल्याइएकाले त्यस्ता भ्रमपूर्ण, झुट्टा वा काल्पनिक सूचनालार्इ तामेलीमा राख्ने कार्यलाइ प्राथमिकताका साथ लागु गर्ने ।</w:t>
      </w:r>
    </w:p>
    <w:p w:rsidR="00E87050" w:rsidRPr="00F00F24"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eastAsia="Times New Roman" w:hAnsi="Kokila" w:cs="Kokila" w:hint="cs"/>
          <w:sz w:val="32"/>
          <w:szCs w:val="32"/>
          <w:cs/>
          <w:lang w:val="en-US"/>
        </w:rPr>
        <w:t xml:space="preserve">सरकारी जग्गा तथा सार्वजनिक सम्पत्तिको संरक्षण गर्नु सबैको दायित्व रहेको तर्फ सचेत रही सरकारी तथा सार्वजनिक सम्पत्ति सम्बन्धमा परेका मुद्दा तथा विवादका बिषयमा आपसी रूपमा समन्वय गरी आफ्नो आफ्नो तर्फबाट बलियो रूपमा न्यायिक भुमिका निर्वाह गर्ने ।  </w:t>
      </w:r>
    </w:p>
    <w:p w:rsidR="00E87050"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hAnsi="Kokila" w:cs="Kokila" w:hint="cs"/>
          <w:sz w:val="32"/>
          <w:szCs w:val="32"/>
          <w:cs/>
        </w:rPr>
        <w:t>क्षेत्राधिकार वाहीरका ( जस्तै स्थानियक निकायमा क्षेत्राधिकार भएका)  विषयमा समेत जाहेरी प्राप्त हुने र दर्ताका लागी अनावश्यक दवाव हुने गरेकोमा सो विषयमा स्थानिय निकाय तथा सरोकार वालाहरूलाइ क्षेत्राधिकार बुझेरमात्र उजुरी गर्न तथा उजुरी लिनका लागी आफ्नो आफ्नो क्ष्रेत्रबाट सूचना प्रवाह गर्ने ।</w:t>
      </w:r>
    </w:p>
    <w:p w:rsidR="00E87050"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hAnsi="Kokila" w:cs="Kokila" w:hint="cs"/>
          <w:sz w:val="32"/>
          <w:szCs w:val="32"/>
          <w:cs/>
        </w:rPr>
        <w:t xml:space="preserve">जिल्ला प्रशासन कार्यालय, प्रहरी कार्यालय तथा संघिय सरकार अन्तरगत पर्ने अन्य कार्यालयहरूबाट समयमानै लिखित जवाफ प्राप्त नभएका कारण मुद्दाको सुनुवाइ तथा प्रतिरक्षामा समस्या भएकाले सो सम्बन्धमा सबै निकाय सचेत रहने ।  </w:t>
      </w:r>
    </w:p>
    <w:p w:rsidR="00E87050" w:rsidRPr="00301F99"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hAnsi="Kokila" w:cs="Kokila" w:hint="cs"/>
          <w:sz w:val="32"/>
          <w:szCs w:val="32"/>
          <w:cs/>
        </w:rPr>
        <w:t xml:space="preserve">लिखित जवाफ पठाउदा अदालतबाट जारी भएको म्याद तथा थाम्न नमाउन पाउने म्यादलाइ विषेश ध्यान दिने । रिट निवेदन तथा लिखित जवाफमा उल्लेखित प्राविधिक विषयमा छलफल गर्ने प्रयोजनका लागी सम्पर्क व्याक्तिको व्यावस्था गर्ने । सम्भव भए सम्म अदालतमा पेशी हुँदाका दिन प्राविधिक वा विषय विज्ञ समेत सरकारी वकील कार्यालयमा उपस्थित भइ सो विवादका प्राविधक पक्षका वारेमा छलफल गर्ने । आवश्यकता अनुसार अदालतमा समेत उपस्थित हुने । </w:t>
      </w:r>
      <w:r w:rsidRPr="00301F99">
        <w:rPr>
          <w:rFonts w:ascii="Kokila" w:hAnsi="Kokila" w:cs="Kokila" w:hint="cs"/>
          <w:sz w:val="32"/>
          <w:szCs w:val="32"/>
          <w:cs/>
        </w:rPr>
        <w:t xml:space="preserve">कानूनी </w:t>
      </w:r>
      <w:r>
        <w:rPr>
          <w:rFonts w:ascii="Kokila" w:hAnsi="Kokila" w:cs="Kokila" w:hint="cs"/>
          <w:sz w:val="32"/>
          <w:szCs w:val="32"/>
          <w:cs/>
        </w:rPr>
        <w:t xml:space="preserve">समस्यका सम्बन्धमा </w:t>
      </w:r>
      <w:r w:rsidRPr="00301F99">
        <w:rPr>
          <w:rFonts w:ascii="Kokila" w:hAnsi="Kokila" w:cs="Kokila" w:hint="cs"/>
          <w:sz w:val="32"/>
          <w:szCs w:val="32"/>
          <w:cs/>
        </w:rPr>
        <w:t>उच्च सरकारी वकील कार्यालय तथा जिल्ला सरकारी वकील कार्यालय संग समन्वय गर्ने ।</w:t>
      </w:r>
    </w:p>
    <w:p w:rsidR="00E87050" w:rsidRDefault="00E87050" w:rsidP="00E87050">
      <w:pPr>
        <w:pStyle w:val="ListParagraph"/>
        <w:numPr>
          <w:ilvl w:val="0"/>
          <w:numId w:val="1"/>
        </w:numPr>
        <w:tabs>
          <w:tab w:val="left" w:pos="8055"/>
        </w:tabs>
        <w:spacing w:after="0" w:line="276" w:lineRule="auto"/>
        <w:jc w:val="both"/>
        <w:rPr>
          <w:rFonts w:ascii="Kokila" w:hAnsi="Kokila" w:cs="Kokila"/>
          <w:sz w:val="32"/>
          <w:szCs w:val="32"/>
        </w:rPr>
      </w:pPr>
      <w:r>
        <w:rPr>
          <w:rFonts w:ascii="Kokila" w:hAnsi="Kokila" w:cs="Kokila" w:hint="cs"/>
          <w:sz w:val="32"/>
          <w:szCs w:val="32"/>
          <w:cs/>
        </w:rPr>
        <w:t>उच्च अदालत जनकपुरबाट रिटमा भएका आदेश तथा मुद्दामा भएका फैसला समयमानै कार्यान्वयन गरी सो विषयमा उच्च सरकारी वकील कार्यालयलार्इ जानकारी समेत गराउने ।</w:t>
      </w:r>
    </w:p>
    <w:p w:rsidR="00E87050" w:rsidRDefault="00E87050" w:rsidP="00E87050"/>
    <w:p w:rsidR="005017B5" w:rsidRDefault="005017B5">
      <w:bookmarkStart w:id="0" w:name="_GoBack"/>
      <w:bookmarkEnd w:id="0"/>
    </w:p>
    <w:sectPr w:rsidR="005017B5" w:rsidSect="00A45B28">
      <w:pgSz w:w="11909" w:h="16834" w:code="9"/>
      <w:pgMar w:top="1440" w:right="1296"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D43"/>
    <w:multiLevelType w:val="hybridMultilevel"/>
    <w:tmpl w:val="BA0CDA44"/>
    <w:lvl w:ilvl="0" w:tplc="EAF09AE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50"/>
    <w:rsid w:val="005017B5"/>
    <w:rsid w:val="00E870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B142-08E8-4FA0-9849-E0C59A3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5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OAG_787901</dc:creator>
  <cp:keywords/>
  <dc:description/>
  <cp:lastModifiedBy>OAG_787901</cp:lastModifiedBy>
  <cp:revision>1</cp:revision>
  <dcterms:created xsi:type="dcterms:W3CDTF">2023-07-06T05:50:00Z</dcterms:created>
  <dcterms:modified xsi:type="dcterms:W3CDTF">2023-07-06T05:59:00Z</dcterms:modified>
</cp:coreProperties>
</file>